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B7D85" w14:textId="023CFDD9" w:rsidR="00640EF5" w:rsidRPr="00EE5A18" w:rsidRDefault="00040B29" w:rsidP="00710F89">
      <w:pPr>
        <w:jc w:val="center"/>
        <w:rPr>
          <w:rFonts w:ascii="Century Gothic" w:hAnsi="Century Gothic"/>
          <w:b/>
          <w:bCs/>
          <w:sz w:val="24"/>
          <w:szCs w:val="24"/>
        </w:rPr>
      </w:pPr>
      <w:r w:rsidRPr="00EE5A18">
        <w:rPr>
          <w:rFonts w:ascii="Century Gothic" w:hAnsi="Century Gothic"/>
          <w:b/>
          <w:bCs/>
          <w:sz w:val="24"/>
          <w:szCs w:val="24"/>
        </w:rPr>
        <w:t>S</w:t>
      </w:r>
      <w:r w:rsidR="00710F89" w:rsidRPr="00EE5A18">
        <w:rPr>
          <w:rFonts w:ascii="Century Gothic" w:hAnsi="Century Gothic"/>
          <w:b/>
          <w:bCs/>
          <w:sz w:val="24"/>
          <w:szCs w:val="24"/>
        </w:rPr>
        <w:t xml:space="preserve">PQ </w:t>
      </w:r>
      <w:r w:rsidRPr="00EE5A18">
        <w:rPr>
          <w:rFonts w:ascii="Century Gothic" w:hAnsi="Century Gothic"/>
          <w:b/>
          <w:bCs/>
          <w:sz w:val="24"/>
          <w:szCs w:val="24"/>
        </w:rPr>
        <w:t>scoring</w:t>
      </w:r>
    </w:p>
    <w:p w14:paraId="016479D6" w14:textId="77777777" w:rsidR="001876E8" w:rsidRPr="00EE5A18" w:rsidRDefault="001876E8">
      <w:pPr>
        <w:rPr>
          <w:rFonts w:ascii="Century Gothic" w:hAnsi="Century Gothic"/>
          <w:sz w:val="24"/>
          <w:szCs w:val="24"/>
        </w:rPr>
      </w:pPr>
    </w:p>
    <w:p w14:paraId="2B7E4BA4" w14:textId="77777777" w:rsidR="001876E8" w:rsidRPr="00EE5A18" w:rsidRDefault="001876E8">
      <w:pPr>
        <w:rPr>
          <w:rFonts w:ascii="Century Gothic" w:hAnsi="Century Gothic"/>
          <w:sz w:val="24"/>
          <w:szCs w:val="24"/>
        </w:rPr>
      </w:pPr>
    </w:p>
    <w:p w14:paraId="3D500158" w14:textId="4E62017A" w:rsidR="001876E8" w:rsidRPr="00EE5A18" w:rsidRDefault="00040B29" w:rsidP="001876E8">
      <w:pPr>
        <w:rPr>
          <w:rFonts w:ascii="Century Gothic" w:hAnsi="Century Gothic"/>
          <w:sz w:val="24"/>
          <w:szCs w:val="24"/>
        </w:rPr>
      </w:pPr>
      <w:r w:rsidRPr="00EE5A18">
        <w:rPr>
          <w:rFonts w:ascii="Century Gothic" w:hAnsi="Century Gothic"/>
          <w:sz w:val="24"/>
          <w:szCs w:val="24"/>
        </w:rPr>
        <w:t xml:space="preserve">For the </w:t>
      </w:r>
      <w:r w:rsidR="00EE5A18" w:rsidRPr="00EE5A18">
        <w:rPr>
          <w:rFonts w:ascii="Century Gothic" w:hAnsi="Century Gothic"/>
          <w:sz w:val="24"/>
          <w:szCs w:val="24"/>
        </w:rPr>
        <w:t>original 92-item</w:t>
      </w:r>
      <w:r w:rsidRPr="00EE5A18">
        <w:rPr>
          <w:rFonts w:ascii="Century Gothic" w:hAnsi="Century Gothic"/>
          <w:sz w:val="24"/>
          <w:szCs w:val="24"/>
        </w:rPr>
        <w:t xml:space="preserve"> version </w:t>
      </w:r>
      <w:r w:rsidR="00710F89" w:rsidRPr="00EE5A18">
        <w:rPr>
          <w:rFonts w:ascii="Century Gothic" w:hAnsi="Century Gothic"/>
          <w:sz w:val="24"/>
          <w:szCs w:val="24"/>
        </w:rPr>
        <w:t>a</w:t>
      </w:r>
      <w:r w:rsidR="001876E8" w:rsidRPr="00EE5A18">
        <w:rPr>
          <w:rFonts w:ascii="Century Gothic" w:hAnsi="Century Gothic"/>
          <w:sz w:val="24"/>
          <w:szCs w:val="24"/>
        </w:rPr>
        <w:t>ll items are rated on a four-point Likert scale: Strongly Agree (0), Agree (1), Disagree (2), and Strongly Disagree (3). Items reflecting sensory hyposensitivity are reverse scored prior to calculation of the Total SPQ score. Reverse scoring is performed by recoding responses as 0→3, 1→2, 2→1, and 3→0. Item scores are then summed to generate a Total SPQ score. Lower total scores indicate greater sensory sensitivity and lower sensory thresholds, whereas higher total scores indicate reduced sensory sensitivity and higher sensory thresholds.</w:t>
      </w:r>
    </w:p>
    <w:p w14:paraId="5A5EE728" w14:textId="77777777" w:rsidR="001876E8" w:rsidRPr="00EE5A18" w:rsidRDefault="001876E8">
      <w:pPr>
        <w:rPr>
          <w:rFonts w:ascii="Century Gothic" w:hAnsi="Century Gothic"/>
          <w:sz w:val="24"/>
          <w:szCs w:val="24"/>
        </w:rPr>
      </w:pPr>
    </w:p>
    <w:p w14:paraId="06854404" w14:textId="703676DE" w:rsidR="001876E8" w:rsidRPr="00EE5A18" w:rsidRDefault="00F67422" w:rsidP="00F67422">
      <w:pPr>
        <w:rPr>
          <w:rFonts w:ascii="Century Gothic" w:hAnsi="Century Gothic"/>
          <w:sz w:val="24"/>
          <w:szCs w:val="24"/>
        </w:rPr>
      </w:pPr>
      <w:r w:rsidRPr="00EE5A18">
        <w:rPr>
          <w:rFonts w:ascii="Century Gothic" w:hAnsi="Century Gothic"/>
          <w:sz w:val="24"/>
          <w:szCs w:val="24"/>
        </w:rPr>
        <w:t>T</w:t>
      </w:r>
      <w:r w:rsidR="001876E8" w:rsidRPr="00EE5A18">
        <w:rPr>
          <w:rFonts w:ascii="Century Gothic" w:hAnsi="Century Gothic"/>
          <w:sz w:val="24"/>
          <w:szCs w:val="24"/>
        </w:rPr>
        <w:t xml:space="preserve">he </w:t>
      </w:r>
      <w:r w:rsidR="001876E8" w:rsidRPr="00EE5A18">
        <w:rPr>
          <w:rFonts w:ascii="Century Gothic" w:hAnsi="Century Gothic"/>
          <w:b/>
          <w:bCs/>
          <w:sz w:val="24"/>
          <w:szCs w:val="24"/>
        </w:rPr>
        <w:t>hyposensitivity items</w:t>
      </w:r>
      <w:r w:rsidR="001876E8" w:rsidRPr="00EE5A18">
        <w:rPr>
          <w:rFonts w:ascii="Century Gothic" w:hAnsi="Century Gothic"/>
          <w:sz w:val="24"/>
          <w:szCs w:val="24"/>
        </w:rPr>
        <w:t xml:space="preserve"> are:</w:t>
      </w:r>
    </w:p>
    <w:p w14:paraId="418F081F" w14:textId="2930B2F2" w:rsidR="001876E8" w:rsidRPr="00EE5A18" w:rsidRDefault="001876E8" w:rsidP="001876E8">
      <w:pPr>
        <w:rPr>
          <w:rFonts w:ascii="Century Gothic" w:hAnsi="Century Gothic"/>
          <w:sz w:val="24"/>
          <w:szCs w:val="24"/>
        </w:rPr>
      </w:pPr>
      <w:r w:rsidRPr="00EE5A18">
        <w:rPr>
          <w:rFonts w:ascii="Century Gothic" w:hAnsi="Century Gothic"/>
          <w:b/>
          <w:bCs/>
          <w:sz w:val="24"/>
          <w:szCs w:val="24"/>
        </w:rPr>
        <w:t>3, 4, 5, 6, 10, 13,</w:t>
      </w:r>
      <w:r w:rsidR="00386A89" w:rsidRPr="00EE5A18">
        <w:rPr>
          <w:rFonts w:ascii="Century Gothic" w:hAnsi="Century Gothic"/>
          <w:b/>
          <w:bCs/>
          <w:sz w:val="24"/>
          <w:szCs w:val="24"/>
        </w:rPr>
        <w:t>15,</w:t>
      </w:r>
      <w:r w:rsidRPr="00EE5A18">
        <w:rPr>
          <w:rFonts w:ascii="Century Gothic" w:hAnsi="Century Gothic"/>
          <w:b/>
          <w:bCs/>
          <w:sz w:val="24"/>
          <w:szCs w:val="24"/>
        </w:rPr>
        <w:t xml:space="preserve"> 16, 17, 18, 20, 22, 25, </w:t>
      </w:r>
      <w:r w:rsidR="00386A89" w:rsidRPr="00EE5A18">
        <w:rPr>
          <w:rFonts w:ascii="Century Gothic" w:hAnsi="Century Gothic"/>
          <w:b/>
          <w:bCs/>
          <w:sz w:val="24"/>
          <w:szCs w:val="24"/>
        </w:rPr>
        <w:t>26,</w:t>
      </w:r>
      <w:r w:rsidRPr="00EE5A18">
        <w:rPr>
          <w:rFonts w:ascii="Century Gothic" w:hAnsi="Century Gothic"/>
          <w:b/>
          <w:bCs/>
          <w:sz w:val="24"/>
          <w:szCs w:val="24"/>
        </w:rPr>
        <w:t xml:space="preserve">27, </w:t>
      </w:r>
      <w:r w:rsidR="00386A89" w:rsidRPr="00EE5A18">
        <w:rPr>
          <w:rFonts w:ascii="Century Gothic" w:hAnsi="Century Gothic"/>
          <w:b/>
          <w:bCs/>
          <w:sz w:val="24"/>
          <w:szCs w:val="24"/>
        </w:rPr>
        <w:t xml:space="preserve">28, </w:t>
      </w:r>
      <w:r w:rsidRPr="00EE5A18">
        <w:rPr>
          <w:rFonts w:ascii="Century Gothic" w:hAnsi="Century Gothic"/>
          <w:b/>
          <w:bCs/>
          <w:sz w:val="24"/>
          <w:szCs w:val="24"/>
        </w:rPr>
        <w:t xml:space="preserve">29, 31, 34, </w:t>
      </w:r>
      <w:r w:rsidR="00386A89" w:rsidRPr="00EE5A18">
        <w:rPr>
          <w:rFonts w:ascii="Century Gothic" w:hAnsi="Century Gothic"/>
          <w:b/>
          <w:bCs/>
          <w:sz w:val="24"/>
          <w:szCs w:val="24"/>
        </w:rPr>
        <w:t xml:space="preserve">39, </w:t>
      </w:r>
      <w:r w:rsidRPr="00EE5A18">
        <w:rPr>
          <w:rFonts w:ascii="Century Gothic" w:hAnsi="Century Gothic"/>
          <w:b/>
          <w:bCs/>
          <w:sz w:val="24"/>
          <w:szCs w:val="24"/>
        </w:rPr>
        <w:t xml:space="preserve">40, 42, 43, 44, 46, </w:t>
      </w:r>
      <w:r w:rsidR="00386A89" w:rsidRPr="00EE5A18">
        <w:rPr>
          <w:rFonts w:ascii="Century Gothic" w:hAnsi="Century Gothic"/>
          <w:b/>
          <w:bCs/>
          <w:sz w:val="24"/>
          <w:szCs w:val="24"/>
        </w:rPr>
        <w:t xml:space="preserve">47, </w:t>
      </w:r>
      <w:r w:rsidRPr="00EE5A18">
        <w:rPr>
          <w:rFonts w:ascii="Century Gothic" w:hAnsi="Century Gothic"/>
          <w:b/>
          <w:bCs/>
          <w:sz w:val="24"/>
          <w:szCs w:val="24"/>
        </w:rPr>
        <w:t xml:space="preserve">48, 51, </w:t>
      </w:r>
      <w:r w:rsidR="00386A89" w:rsidRPr="00EE5A18">
        <w:rPr>
          <w:rFonts w:ascii="Century Gothic" w:hAnsi="Century Gothic"/>
          <w:b/>
          <w:bCs/>
          <w:sz w:val="24"/>
          <w:szCs w:val="24"/>
        </w:rPr>
        <w:t>53,</w:t>
      </w:r>
      <w:r w:rsidRPr="00EE5A18">
        <w:rPr>
          <w:rFonts w:ascii="Century Gothic" w:hAnsi="Century Gothic"/>
          <w:b/>
          <w:bCs/>
          <w:sz w:val="24"/>
          <w:szCs w:val="24"/>
        </w:rPr>
        <w:t>54, 56,</w:t>
      </w:r>
      <w:r w:rsidR="00386A89" w:rsidRPr="00EE5A18">
        <w:rPr>
          <w:rFonts w:ascii="Century Gothic" w:hAnsi="Century Gothic"/>
          <w:b/>
          <w:bCs/>
          <w:sz w:val="24"/>
          <w:szCs w:val="24"/>
        </w:rPr>
        <w:t>57,</w:t>
      </w:r>
      <w:r w:rsidRPr="00EE5A18">
        <w:rPr>
          <w:rFonts w:ascii="Century Gothic" w:hAnsi="Century Gothic"/>
          <w:b/>
          <w:bCs/>
          <w:sz w:val="24"/>
          <w:szCs w:val="24"/>
        </w:rPr>
        <w:t xml:space="preserve"> 63, 66, 67,</w:t>
      </w:r>
      <w:r w:rsidR="00386A89" w:rsidRPr="00EE5A18">
        <w:rPr>
          <w:rFonts w:ascii="Century Gothic" w:hAnsi="Century Gothic"/>
          <w:b/>
          <w:bCs/>
          <w:sz w:val="24"/>
          <w:szCs w:val="24"/>
        </w:rPr>
        <w:t>72,</w:t>
      </w:r>
      <w:r w:rsidRPr="00EE5A18">
        <w:rPr>
          <w:rFonts w:ascii="Century Gothic" w:hAnsi="Century Gothic"/>
          <w:b/>
          <w:bCs/>
          <w:sz w:val="24"/>
          <w:szCs w:val="24"/>
        </w:rPr>
        <w:t xml:space="preserve">75, </w:t>
      </w:r>
      <w:r w:rsidR="00386A89" w:rsidRPr="00EE5A18">
        <w:rPr>
          <w:rFonts w:ascii="Century Gothic" w:hAnsi="Century Gothic"/>
          <w:b/>
          <w:bCs/>
          <w:sz w:val="24"/>
          <w:szCs w:val="24"/>
        </w:rPr>
        <w:t xml:space="preserve">77, </w:t>
      </w:r>
      <w:r w:rsidRPr="00EE5A18">
        <w:rPr>
          <w:rFonts w:ascii="Century Gothic" w:hAnsi="Century Gothic"/>
          <w:b/>
          <w:bCs/>
          <w:sz w:val="24"/>
          <w:szCs w:val="24"/>
        </w:rPr>
        <w:t>78, 79, 80, 86, 89, 92</w:t>
      </w:r>
      <w:r w:rsidRPr="00EE5A18">
        <w:rPr>
          <w:rFonts w:ascii="Century Gothic" w:hAnsi="Century Gothic"/>
          <w:sz w:val="24"/>
          <w:szCs w:val="24"/>
        </w:rPr>
        <w:t xml:space="preserve">. </w:t>
      </w:r>
    </w:p>
    <w:p w14:paraId="27376FB8" w14:textId="77777777" w:rsidR="001876E8" w:rsidRPr="00EE5A18" w:rsidRDefault="001876E8" w:rsidP="001876E8">
      <w:pPr>
        <w:rPr>
          <w:rFonts w:ascii="Century Gothic" w:hAnsi="Century Gothic"/>
          <w:sz w:val="24"/>
          <w:szCs w:val="24"/>
        </w:rPr>
      </w:pPr>
      <w:r w:rsidRPr="00EE5A18">
        <w:rPr>
          <w:rFonts w:ascii="Century Gothic" w:hAnsi="Century Gothic"/>
          <w:sz w:val="24"/>
          <w:szCs w:val="24"/>
        </w:rPr>
        <w:t xml:space="preserve">All remaining items are </w:t>
      </w:r>
      <w:r w:rsidRPr="00EE5A18">
        <w:rPr>
          <w:rFonts w:ascii="Century Gothic" w:hAnsi="Century Gothic"/>
          <w:b/>
          <w:bCs/>
          <w:sz w:val="24"/>
          <w:szCs w:val="24"/>
        </w:rPr>
        <w:t>hypersensitivity items</w:t>
      </w:r>
      <w:r w:rsidRPr="00EE5A18">
        <w:rPr>
          <w:rFonts w:ascii="Century Gothic" w:hAnsi="Century Gothic"/>
          <w:sz w:val="24"/>
          <w:szCs w:val="24"/>
        </w:rPr>
        <w:t>.</w:t>
      </w:r>
    </w:p>
    <w:p w14:paraId="7491A935" w14:textId="3383252F" w:rsidR="001876E8" w:rsidRPr="00EE5A18" w:rsidRDefault="001876E8">
      <w:pPr>
        <w:rPr>
          <w:rFonts w:ascii="Century Gothic" w:hAnsi="Century Gothic"/>
          <w:sz w:val="24"/>
          <w:szCs w:val="24"/>
        </w:rPr>
      </w:pPr>
    </w:p>
    <w:p w14:paraId="11CE7301" w14:textId="19F6A57C" w:rsidR="00040B29" w:rsidRPr="00EE5A18" w:rsidRDefault="00040B29" w:rsidP="00040B29">
      <w:pPr>
        <w:rPr>
          <w:rFonts w:ascii="Century Gothic" w:hAnsi="Century Gothic"/>
          <w:sz w:val="24"/>
          <w:szCs w:val="24"/>
        </w:rPr>
      </w:pPr>
      <w:r w:rsidRPr="00EE5A18">
        <w:rPr>
          <w:rFonts w:ascii="Century Gothic" w:hAnsi="Century Gothic"/>
          <w:sz w:val="24"/>
          <w:szCs w:val="24"/>
        </w:rPr>
        <w:t xml:space="preserve">For the </w:t>
      </w:r>
      <w:proofErr w:type="gramStart"/>
      <w:r w:rsidRPr="00EE5A18">
        <w:rPr>
          <w:rFonts w:ascii="Century Gothic" w:hAnsi="Century Gothic"/>
          <w:sz w:val="24"/>
          <w:szCs w:val="24"/>
        </w:rPr>
        <w:t>35 item</w:t>
      </w:r>
      <w:proofErr w:type="gramEnd"/>
      <w:r w:rsidRPr="00EE5A18">
        <w:rPr>
          <w:rFonts w:ascii="Century Gothic" w:hAnsi="Century Gothic"/>
          <w:sz w:val="24"/>
          <w:szCs w:val="24"/>
        </w:rPr>
        <w:t xml:space="preserve"> version </w:t>
      </w:r>
      <w:proofErr w:type="gramStart"/>
      <w:r w:rsidRPr="00EE5A18">
        <w:rPr>
          <w:rFonts w:ascii="Century Gothic" w:hAnsi="Century Gothic"/>
          <w:sz w:val="24"/>
          <w:szCs w:val="24"/>
        </w:rPr>
        <w:t>most</w:t>
      </w:r>
      <w:proofErr w:type="gramEnd"/>
      <w:r w:rsidRPr="00EE5A18">
        <w:rPr>
          <w:rFonts w:ascii="Century Gothic" w:hAnsi="Century Gothic"/>
          <w:sz w:val="24"/>
          <w:szCs w:val="24"/>
        </w:rPr>
        <w:t> items are scored the following: 0= strongly agree, 1=agree, 2=disagree, 3=strongly disagree. The following 5 items are scored reverse: 7,13,14,22,32 (Score: 3-2-1-0). </w:t>
      </w:r>
    </w:p>
    <w:p w14:paraId="5C9C0262" w14:textId="18FC9606" w:rsidR="00040B29" w:rsidRPr="00EE5A18" w:rsidRDefault="00CB030A">
      <w:pPr>
        <w:rPr>
          <w:rFonts w:ascii="Century Gothic" w:hAnsi="Century Gothic"/>
          <w:sz w:val="24"/>
          <w:szCs w:val="24"/>
        </w:rPr>
      </w:pPr>
      <w:r>
        <w:rPr>
          <w:rFonts w:ascii="Century Gothic" w:hAnsi="Century Gothic"/>
          <w:sz w:val="24"/>
          <w:szCs w:val="24"/>
        </w:rPr>
        <w:t xml:space="preserve">In line with the longer version, </w:t>
      </w:r>
      <w:proofErr w:type="gramStart"/>
      <w:r>
        <w:rPr>
          <w:rFonts w:ascii="Century Gothic" w:hAnsi="Century Gothic"/>
          <w:sz w:val="24"/>
          <w:szCs w:val="24"/>
        </w:rPr>
        <w:t>o</w:t>
      </w:r>
      <w:r w:rsidR="00040B29" w:rsidRPr="00EE5A18">
        <w:rPr>
          <w:rFonts w:ascii="Century Gothic" w:hAnsi="Century Gothic"/>
          <w:sz w:val="24"/>
          <w:szCs w:val="24"/>
        </w:rPr>
        <w:t>verall</w:t>
      </w:r>
      <w:proofErr w:type="gramEnd"/>
      <w:r w:rsidR="00040B29" w:rsidRPr="00EE5A18">
        <w:rPr>
          <w:rFonts w:ascii="Century Gothic" w:hAnsi="Century Gothic"/>
          <w:sz w:val="24"/>
          <w:szCs w:val="24"/>
        </w:rPr>
        <w:t xml:space="preserve"> the lower the score the more sensitive. </w:t>
      </w:r>
    </w:p>
    <w:sectPr w:rsidR="00040B29" w:rsidRPr="00EE5A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92DA3"/>
    <w:multiLevelType w:val="multilevel"/>
    <w:tmpl w:val="EA18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859AF"/>
    <w:multiLevelType w:val="multilevel"/>
    <w:tmpl w:val="B7781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2825858">
    <w:abstractNumId w:val="1"/>
  </w:num>
  <w:num w:numId="2" w16cid:durableId="1436634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B29"/>
    <w:rsid w:val="00040B29"/>
    <w:rsid w:val="00066B4F"/>
    <w:rsid w:val="001876E8"/>
    <w:rsid w:val="00386A89"/>
    <w:rsid w:val="00640EF5"/>
    <w:rsid w:val="00710F89"/>
    <w:rsid w:val="00770906"/>
    <w:rsid w:val="00846872"/>
    <w:rsid w:val="00C75D64"/>
    <w:rsid w:val="00CB030A"/>
    <w:rsid w:val="00DA12D6"/>
    <w:rsid w:val="00E71C49"/>
    <w:rsid w:val="00EE5A18"/>
    <w:rsid w:val="00F67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C690"/>
  <w15:chartTrackingRefBased/>
  <w15:docId w15:val="{608B850B-3DA1-4FC6-91E2-62A5A19C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B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B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B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B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B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B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B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B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B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B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B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B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B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B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B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B29"/>
    <w:rPr>
      <w:rFonts w:eastAsiaTheme="majorEastAsia" w:cstheme="majorBidi"/>
      <w:color w:val="272727" w:themeColor="text1" w:themeTint="D8"/>
    </w:rPr>
  </w:style>
  <w:style w:type="paragraph" w:styleId="Title">
    <w:name w:val="Title"/>
    <w:basedOn w:val="Normal"/>
    <w:next w:val="Normal"/>
    <w:link w:val="TitleChar"/>
    <w:uiPriority w:val="10"/>
    <w:qFormat/>
    <w:rsid w:val="00040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B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B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B29"/>
    <w:pPr>
      <w:spacing w:before="160"/>
      <w:jc w:val="center"/>
    </w:pPr>
    <w:rPr>
      <w:i/>
      <w:iCs/>
      <w:color w:val="404040" w:themeColor="text1" w:themeTint="BF"/>
    </w:rPr>
  </w:style>
  <w:style w:type="character" w:customStyle="1" w:styleId="QuoteChar">
    <w:name w:val="Quote Char"/>
    <w:basedOn w:val="DefaultParagraphFont"/>
    <w:link w:val="Quote"/>
    <w:uiPriority w:val="29"/>
    <w:rsid w:val="00040B29"/>
    <w:rPr>
      <w:i/>
      <w:iCs/>
      <w:color w:val="404040" w:themeColor="text1" w:themeTint="BF"/>
    </w:rPr>
  </w:style>
  <w:style w:type="paragraph" w:styleId="ListParagraph">
    <w:name w:val="List Paragraph"/>
    <w:basedOn w:val="Normal"/>
    <w:uiPriority w:val="34"/>
    <w:qFormat/>
    <w:rsid w:val="00040B29"/>
    <w:pPr>
      <w:ind w:left="720"/>
      <w:contextualSpacing/>
    </w:pPr>
  </w:style>
  <w:style w:type="character" w:styleId="IntenseEmphasis">
    <w:name w:val="Intense Emphasis"/>
    <w:basedOn w:val="DefaultParagraphFont"/>
    <w:uiPriority w:val="21"/>
    <w:qFormat/>
    <w:rsid w:val="00040B29"/>
    <w:rPr>
      <w:i/>
      <w:iCs/>
      <w:color w:val="0F4761" w:themeColor="accent1" w:themeShade="BF"/>
    </w:rPr>
  </w:style>
  <w:style w:type="paragraph" w:styleId="IntenseQuote">
    <w:name w:val="Intense Quote"/>
    <w:basedOn w:val="Normal"/>
    <w:next w:val="Normal"/>
    <w:link w:val="IntenseQuoteChar"/>
    <w:uiPriority w:val="30"/>
    <w:qFormat/>
    <w:rsid w:val="00040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B29"/>
    <w:rPr>
      <w:i/>
      <w:iCs/>
      <w:color w:val="0F4761" w:themeColor="accent1" w:themeShade="BF"/>
    </w:rPr>
  </w:style>
  <w:style w:type="character" w:styleId="IntenseReference">
    <w:name w:val="Intense Reference"/>
    <w:basedOn w:val="DefaultParagraphFont"/>
    <w:uiPriority w:val="32"/>
    <w:qFormat/>
    <w:rsid w:val="00040B29"/>
    <w:rPr>
      <w:b/>
      <w:bCs/>
      <w:smallCaps/>
      <w:color w:val="0F4761" w:themeColor="accent1" w:themeShade="BF"/>
      <w:spacing w:val="5"/>
    </w:rPr>
  </w:style>
  <w:style w:type="character" w:styleId="Hyperlink">
    <w:name w:val="Hyperlink"/>
    <w:basedOn w:val="DefaultParagraphFont"/>
    <w:uiPriority w:val="99"/>
    <w:unhideWhenUsed/>
    <w:rsid w:val="001876E8"/>
    <w:rPr>
      <w:color w:val="467886" w:themeColor="hyperlink"/>
      <w:u w:val="single"/>
    </w:rPr>
  </w:style>
  <w:style w:type="character" w:styleId="UnresolvedMention">
    <w:name w:val="Unresolved Mention"/>
    <w:basedOn w:val="DefaultParagraphFont"/>
    <w:uiPriority w:val="99"/>
    <w:semiHidden/>
    <w:unhideWhenUsed/>
    <w:rsid w:val="001876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Tavassoli</dc:creator>
  <cp:keywords/>
  <dc:description/>
  <cp:lastModifiedBy>Teresa Tavassoli</cp:lastModifiedBy>
  <cp:revision>2</cp:revision>
  <dcterms:created xsi:type="dcterms:W3CDTF">2026-08-19T09:03:00Z</dcterms:created>
  <dcterms:modified xsi:type="dcterms:W3CDTF">2026-08-19T09:03:00Z</dcterms:modified>
</cp:coreProperties>
</file>